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40" w:lineRule="exact"/>
        <w:rPr>
          <w:rFonts w:ascii="黑体" w:hAnsi="黑体" w:eastAsia="黑体" w:cs="宋体"/>
          <w:spacing w:val="-6"/>
          <w:sz w:val="32"/>
          <w:szCs w:val="32"/>
        </w:rPr>
      </w:pPr>
      <w:r>
        <w:rPr>
          <w:rFonts w:hint="eastAsia" w:ascii="黑体" w:hAnsi="黑体" w:eastAsia="黑体" w:cs="宋体"/>
          <w:spacing w:val="-6"/>
          <w:sz w:val="32"/>
          <w:szCs w:val="32"/>
        </w:rPr>
        <w:t>附件1.</w:t>
      </w:r>
    </w:p>
    <w:p>
      <w:pPr>
        <w:adjustRightInd w:val="0"/>
        <w:snapToGrid w:val="0"/>
        <w:spacing w:line="540" w:lineRule="exact"/>
        <w:ind w:firstLine="1540" w:firstLineChars="500"/>
        <w:rPr>
          <w:rFonts w:ascii="黑体" w:hAnsi="黑体" w:eastAsia="黑体" w:cs="宋体"/>
          <w:spacing w:val="-6"/>
          <w:sz w:val="32"/>
          <w:szCs w:val="32"/>
        </w:rPr>
      </w:pPr>
      <w:r>
        <w:rPr>
          <w:rFonts w:hint="eastAsia" w:ascii="黑体" w:hAnsi="黑体" w:eastAsia="黑体" w:cs="宋体"/>
          <w:spacing w:val="-6"/>
          <w:sz w:val="32"/>
          <w:szCs w:val="32"/>
        </w:rPr>
        <w:t>福州大学201</w:t>
      </w:r>
      <w:r>
        <w:rPr>
          <w:rFonts w:ascii="黑体" w:hAnsi="黑体" w:eastAsia="黑体" w:cs="宋体"/>
          <w:spacing w:val="-6"/>
          <w:sz w:val="32"/>
          <w:szCs w:val="32"/>
        </w:rPr>
        <w:t>9</w:t>
      </w:r>
      <w:r>
        <w:rPr>
          <w:rFonts w:hint="eastAsia" w:ascii="黑体" w:hAnsi="黑体" w:eastAsia="黑体" w:cs="宋体"/>
          <w:spacing w:val="-6"/>
          <w:sz w:val="32"/>
          <w:szCs w:val="32"/>
        </w:rPr>
        <w:t>-20</w:t>
      </w:r>
      <w:r>
        <w:rPr>
          <w:rFonts w:ascii="黑体" w:hAnsi="黑体" w:eastAsia="黑体" w:cs="宋体"/>
          <w:spacing w:val="-6"/>
          <w:sz w:val="32"/>
          <w:szCs w:val="32"/>
        </w:rPr>
        <w:t>20</w:t>
      </w:r>
      <w:r>
        <w:rPr>
          <w:rFonts w:hint="eastAsia" w:ascii="黑体" w:hAnsi="黑体" w:eastAsia="黑体" w:cs="宋体"/>
          <w:spacing w:val="-6"/>
          <w:sz w:val="32"/>
          <w:szCs w:val="32"/>
        </w:rPr>
        <w:t>学年施然创新励学奖学金</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一</w:t>
      </w:r>
      <w:r>
        <w:rPr>
          <w:rFonts w:hint="eastAsia" w:ascii="宋体" w:hAnsi="宋体" w:cs="宋体"/>
          <w:spacing w:val="-6"/>
          <w:sz w:val="32"/>
          <w:szCs w:val="32"/>
        </w:rPr>
        <w:t>、</w:t>
      </w:r>
      <w:r>
        <w:rPr>
          <w:rFonts w:hint="eastAsia" w:ascii="楷体_GB2312" w:hAnsi="黑体" w:eastAsia="楷体_GB2312"/>
          <w:spacing w:val="-6"/>
          <w:sz w:val="32"/>
          <w:szCs w:val="32"/>
        </w:rPr>
        <w:t>奖励对象及标准</w:t>
      </w:r>
    </w:p>
    <w:p>
      <w:pPr>
        <w:adjustRightInd w:val="0"/>
        <w:snapToGrid w:val="0"/>
        <w:spacing w:line="540" w:lineRule="exact"/>
        <w:ind w:firstLine="624" w:firstLineChars="200"/>
        <w:rPr>
          <w:rFonts w:hint="default" w:ascii="仿宋_GB2312" w:eastAsia="仿宋_GB2312"/>
          <w:spacing w:val="-4"/>
          <w:sz w:val="32"/>
          <w:szCs w:val="32"/>
          <w:lang w:val="en-US" w:eastAsia="zh-CN"/>
        </w:rPr>
      </w:pPr>
      <w:r>
        <w:rPr>
          <w:rFonts w:hint="eastAsia" w:ascii="仿宋_GB2312" w:eastAsia="仿宋_GB2312"/>
          <w:spacing w:val="-4"/>
          <w:sz w:val="32"/>
          <w:szCs w:val="32"/>
        </w:rPr>
        <w:t>1.奖励对象：具有中华人民共和国国籍及福州大学正式学籍的全日制在校优秀学生，本学年评选11人（其中递补2018-2019学年名额1人）。</w:t>
      </w:r>
      <w:r>
        <w:rPr>
          <w:rFonts w:hint="eastAsia" w:ascii="仿宋_GB2312" w:eastAsia="仿宋_GB2312"/>
          <w:b/>
          <w:bCs/>
          <w:color w:val="C00000"/>
          <w:spacing w:val="-4"/>
          <w:sz w:val="32"/>
          <w:szCs w:val="32"/>
          <w:lang w:eastAsia="zh-CN"/>
        </w:rPr>
        <w:t>学院推荐</w:t>
      </w:r>
      <w:r>
        <w:rPr>
          <w:rFonts w:hint="eastAsia" w:ascii="仿宋_GB2312" w:eastAsia="仿宋_GB2312"/>
          <w:b/>
          <w:bCs/>
          <w:color w:val="C00000"/>
          <w:spacing w:val="-4"/>
          <w:sz w:val="32"/>
          <w:szCs w:val="32"/>
          <w:lang w:val="en-US" w:eastAsia="zh-CN"/>
        </w:rPr>
        <w:t>1名学生参加学校差额评选。</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2.奖励标准：10000元/人。</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二</w:t>
      </w:r>
      <w:r>
        <w:rPr>
          <w:rFonts w:hint="eastAsia" w:ascii="宋体" w:hAnsi="宋体" w:cs="宋体"/>
          <w:spacing w:val="-6"/>
          <w:sz w:val="32"/>
          <w:szCs w:val="32"/>
        </w:rPr>
        <w:t>、</w:t>
      </w:r>
      <w:r>
        <w:rPr>
          <w:rFonts w:hint="eastAsia" w:ascii="楷体_GB2312" w:hAnsi="黑体" w:eastAsia="楷体_GB2312"/>
          <w:spacing w:val="-6"/>
          <w:sz w:val="32"/>
          <w:szCs w:val="32"/>
        </w:rPr>
        <w:t>申报条件</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1.热爱祖国，遵纪守法，具有良好的思想修养和高尚的道德情操，在校期间未受过任何纪律处分。</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2.品学兼优、刻苦学习，本科生、研究生综合测评排名在本专业40%以内。</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3.学术思想活跃，有较强的创新能力，在学科竞赛、科学研究、创新创业等方面表现突出，获得“挑战杯”全国大学生课外学术科技作品赛或创业计划竞赛金、银奖，ACM国际大学生程序设计竞赛全球总决赛前15名，中国“互联网+”大学生创新创业大赛国赛金、银奖（以上奖项获奖人员排名均为前3名）。</w:t>
      </w:r>
    </w:p>
    <w:p>
      <w:pPr>
        <w:adjustRightInd w:val="0"/>
        <w:snapToGrid w:val="0"/>
        <w:spacing w:line="540" w:lineRule="exact"/>
        <w:ind w:firstLine="624" w:firstLineChars="200"/>
        <w:rPr>
          <w:rFonts w:ascii="仿宋_GB2312" w:eastAsia="仿宋_GB2312"/>
          <w:color w:val="000000"/>
          <w:spacing w:val="-4"/>
          <w:sz w:val="32"/>
          <w:szCs w:val="32"/>
        </w:rPr>
      </w:pPr>
      <w:r>
        <w:rPr>
          <w:rFonts w:hint="eastAsia" w:ascii="仿宋_GB2312" w:eastAsia="仿宋_GB2312"/>
          <w:color w:val="000000"/>
          <w:spacing w:val="-4"/>
          <w:sz w:val="32"/>
          <w:szCs w:val="32"/>
        </w:rPr>
        <w:t>4.申请人原则上参评学年内不能重复获得两项及以上大额（4000元）社会资助。</w:t>
      </w:r>
    </w:p>
    <w:p>
      <w:pPr>
        <w:spacing w:line="540" w:lineRule="exact"/>
        <w:ind w:firstLine="616" w:firstLineChars="200"/>
        <w:rPr>
          <w:rFonts w:ascii="黑体" w:hAnsi="黑体" w:eastAsia="黑体"/>
          <w:color w:val="000000"/>
          <w:spacing w:val="-6"/>
          <w:sz w:val="32"/>
          <w:szCs w:val="32"/>
        </w:rPr>
      </w:pPr>
    </w:p>
    <w:p>
      <w:pPr>
        <w:spacing w:line="540" w:lineRule="exact"/>
        <w:ind w:firstLine="616" w:firstLineChars="200"/>
        <w:rPr>
          <w:rFonts w:ascii="黑体" w:hAnsi="黑体" w:eastAsia="黑体"/>
          <w:color w:val="000000"/>
          <w:spacing w:val="-6"/>
          <w:sz w:val="32"/>
          <w:szCs w:val="32"/>
        </w:rPr>
      </w:pPr>
    </w:p>
    <w:p>
      <w:pPr>
        <w:spacing w:line="540" w:lineRule="exact"/>
        <w:ind w:firstLine="616" w:firstLineChars="200"/>
        <w:rPr>
          <w:rFonts w:ascii="黑体" w:hAnsi="黑体" w:eastAsia="黑体"/>
          <w:color w:val="000000"/>
          <w:spacing w:val="-6"/>
          <w:sz w:val="32"/>
          <w:szCs w:val="32"/>
        </w:rPr>
      </w:pPr>
    </w:p>
    <w:p>
      <w:pPr>
        <w:spacing w:line="540" w:lineRule="exact"/>
        <w:ind w:firstLine="616" w:firstLineChars="200"/>
        <w:rPr>
          <w:rFonts w:ascii="黑体" w:hAnsi="黑体" w:eastAsia="黑体"/>
          <w:color w:val="000000"/>
          <w:spacing w:val="-6"/>
          <w:sz w:val="32"/>
          <w:szCs w:val="32"/>
        </w:rPr>
      </w:pPr>
    </w:p>
    <w:p>
      <w:pPr>
        <w:spacing w:line="540" w:lineRule="exact"/>
        <w:ind w:firstLine="616" w:firstLineChars="200"/>
        <w:rPr>
          <w:rFonts w:ascii="黑体" w:hAnsi="黑体" w:eastAsia="黑体"/>
          <w:color w:val="000000"/>
          <w:spacing w:val="-6"/>
          <w:sz w:val="32"/>
          <w:szCs w:val="32"/>
        </w:rPr>
      </w:pPr>
    </w:p>
    <w:p>
      <w:pPr>
        <w:adjustRightInd w:val="0"/>
        <w:snapToGrid w:val="0"/>
        <w:spacing w:line="540" w:lineRule="exact"/>
        <w:rPr>
          <w:rFonts w:ascii="黑体" w:hAnsi="黑体" w:eastAsia="黑体" w:cs="宋体"/>
          <w:spacing w:val="-6"/>
          <w:sz w:val="32"/>
          <w:szCs w:val="32"/>
        </w:rPr>
      </w:pPr>
      <w:r>
        <w:rPr>
          <w:rFonts w:hint="eastAsia" w:ascii="黑体" w:hAnsi="黑体" w:eastAsia="黑体" w:cs="宋体"/>
          <w:spacing w:val="-6"/>
          <w:sz w:val="32"/>
          <w:szCs w:val="32"/>
        </w:rPr>
        <w:t>附件2.</w:t>
      </w:r>
    </w:p>
    <w:p>
      <w:pPr>
        <w:adjustRightInd w:val="0"/>
        <w:snapToGrid w:val="0"/>
        <w:spacing w:line="540" w:lineRule="exact"/>
        <w:ind w:firstLine="1848" w:firstLineChars="600"/>
        <w:rPr>
          <w:rFonts w:ascii="黑体" w:hAnsi="黑体" w:eastAsia="黑体" w:cs="宋体"/>
          <w:spacing w:val="-6"/>
          <w:sz w:val="32"/>
          <w:szCs w:val="32"/>
        </w:rPr>
      </w:pPr>
      <w:r>
        <w:rPr>
          <w:rFonts w:hint="eastAsia" w:ascii="黑体" w:hAnsi="黑体" w:eastAsia="黑体" w:cs="宋体"/>
          <w:spacing w:val="-6"/>
          <w:sz w:val="32"/>
          <w:szCs w:val="32"/>
        </w:rPr>
        <w:t>福州大学201</w:t>
      </w:r>
      <w:r>
        <w:rPr>
          <w:rFonts w:ascii="黑体" w:hAnsi="黑体" w:eastAsia="黑体" w:cs="宋体"/>
          <w:spacing w:val="-6"/>
          <w:sz w:val="32"/>
          <w:szCs w:val="32"/>
        </w:rPr>
        <w:t>9</w:t>
      </w:r>
      <w:r>
        <w:rPr>
          <w:rFonts w:hint="eastAsia" w:ascii="黑体" w:hAnsi="黑体" w:eastAsia="黑体" w:cs="宋体"/>
          <w:spacing w:val="-6"/>
          <w:sz w:val="32"/>
          <w:szCs w:val="32"/>
        </w:rPr>
        <w:t>-20</w:t>
      </w:r>
      <w:r>
        <w:rPr>
          <w:rFonts w:ascii="黑体" w:hAnsi="黑体" w:eastAsia="黑体" w:cs="宋体"/>
          <w:spacing w:val="-6"/>
          <w:sz w:val="32"/>
          <w:szCs w:val="32"/>
        </w:rPr>
        <w:t>20</w:t>
      </w:r>
      <w:r>
        <w:rPr>
          <w:rFonts w:hint="eastAsia" w:ascii="黑体" w:hAnsi="黑体" w:eastAsia="黑体" w:cs="宋体"/>
          <w:spacing w:val="-6"/>
          <w:sz w:val="32"/>
          <w:szCs w:val="32"/>
        </w:rPr>
        <w:t>学年曾亦容助学金</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一</w:t>
      </w:r>
      <w:r>
        <w:rPr>
          <w:rFonts w:hint="eastAsia" w:ascii="宋体" w:hAnsi="宋体" w:cs="宋体"/>
          <w:spacing w:val="-6"/>
          <w:sz w:val="32"/>
          <w:szCs w:val="32"/>
        </w:rPr>
        <w:t>、</w:t>
      </w:r>
      <w:r>
        <w:rPr>
          <w:rFonts w:hint="eastAsia" w:ascii="楷体_GB2312" w:hAnsi="黑体" w:eastAsia="楷体_GB2312"/>
          <w:spacing w:val="-6"/>
          <w:sz w:val="32"/>
          <w:szCs w:val="32"/>
        </w:rPr>
        <w:t>奖励对象及标准</w:t>
      </w:r>
    </w:p>
    <w:p>
      <w:pPr>
        <w:adjustRightInd w:val="0"/>
        <w:snapToGrid w:val="0"/>
        <w:spacing w:line="540" w:lineRule="exact"/>
        <w:ind w:firstLine="624" w:firstLineChars="200"/>
        <w:rPr>
          <w:rFonts w:ascii="仿宋_GB2312" w:eastAsia="仿宋_GB2312"/>
          <w:b/>
          <w:bCs/>
          <w:color w:val="C00000"/>
          <w:spacing w:val="-4"/>
          <w:sz w:val="32"/>
          <w:szCs w:val="32"/>
        </w:rPr>
      </w:pPr>
      <w:r>
        <w:rPr>
          <w:rFonts w:hint="eastAsia" w:ascii="仿宋_GB2312" w:eastAsia="仿宋_GB2312"/>
          <w:color w:val="000000"/>
          <w:spacing w:val="-4"/>
          <w:sz w:val="32"/>
          <w:szCs w:val="32"/>
        </w:rPr>
        <w:t>1.奖励对象：具有中华人民共和国国籍及福州大学正式学籍的全日制在校家庭经济困难本科学生。每年评选本科生50人，面向经济与管理学院评选本科生25人，</w:t>
      </w:r>
      <w:r>
        <w:rPr>
          <w:rFonts w:hint="eastAsia" w:ascii="仿宋_GB2312" w:eastAsia="仿宋_GB2312"/>
          <w:b/>
          <w:bCs/>
          <w:color w:val="C00000"/>
          <w:spacing w:val="-4"/>
          <w:sz w:val="32"/>
          <w:szCs w:val="32"/>
        </w:rPr>
        <w:t>学院根据实际情况推荐1</w:t>
      </w:r>
      <w:r>
        <w:rPr>
          <w:rFonts w:hint="eastAsia" w:ascii="仿宋_GB2312" w:eastAsia="仿宋_GB2312"/>
          <w:b/>
          <w:bCs/>
          <w:color w:val="C00000"/>
          <w:spacing w:val="-4"/>
          <w:sz w:val="32"/>
          <w:szCs w:val="32"/>
          <w:lang w:val="en-US" w:eastAsia="zh-CN"/>
        </w:rPr>
        <w:t>-</w:t>
      </w:r>
      <w:r>
        <w:rPr>
          <w:rFonts w:hint="eastAsia" w:ascii="仿宋_GB2312" w:eastAsia="仿宋_GB2312"/>
          <w:b/>
          <w:bCs/>
          <w:color w:val="C00000"/>
          <w:spacing w:val="-4"/>
          <w:sz w:val="32"/>
          <w:szCs w:val="32"/>
        </w:rPr>
        <w:t>2名本科生</w:t>
      </w:r>
      <w:r>
        <w:rPr>
          <w:rFonts w:hint="eastAsia" w:ascii="仿宋_GB2312" w:eastAsia="仿宋_GB2312"/>
          <w:b/>
          <w:bCs/>
          <w:color w:val="C00000"/>
          <w:spacing w:val="-4"/>
          <w:sz w:val="32"/>
          <w:szCs w:val="32"/>
          <w:lang w:val="en-US" w:eastAsia="zh-CN"/>
        </w:rPr>
        <w:t>参加学校差额评选。</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2.奖励标准：10000元/人。</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二、申报条件</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申请人应具备如下条件：</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1.热爱祖国，遵纪守法，具有良好的思想修养和高尚的道德情操，在校期间未受过任何纪律处分。</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2.全日制在校在读本科生。</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3.品学兼优、刻苦学习，学业成绩及综合测评成绩均在同专业前50%，无挂科科目。</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4.学术思想活跃，有较强的创新能力，在校期间积极参加社会实践，学习成绩良好，且在道德风尚、学术研究、学科竞赛、创新发明、社会实践、社会工作、体育竞赛、文艺比赛等某一方面表现非常突出（须提交详细的证明材料，经学院分管学生工作副书记签字并盖学院章）。</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5.参评学年内已获得由福州大学评选的金额不低于五千元的其他社会助学金者，原则上不参加评选。</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6.单亲/孤儿/父母一方以上失去工作能力，家庭收入有限的学生优先考虑。</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7.家庭遭遇变故，如父、母等家人得大病，生活受到较大影响的学生优先考虑。</w:t>
      </w:r>
    </w:p>
    <w:p>
      <w:pPr>
        <w:adjustRightInd w:val="0"/>
        <w:snapToGrid w:val="0"/>
        <w:spacing w:line="540" w:lineRule="exact"/>
        <w:ind w:firstLine="624" w:firstLineChars="200"/>
        <w:rPr>
          <w:rFonts w:ascii="仿宋_GB2312" w:eastAsia="仿宋_GB2312"/>
          <w:spacing w:val="-4"/>
          <w:sz w:val="32"/>
          <w:szCs w:val="32"/>
        </w:rPr>
      </w:pPr>
      <w:r>
        <w:rPr>
          <w:rFonts w:hint="eastAsia" w:ascii="仿宋_GB2312" w:eastAsia="仿宋_GB2312"/>
          <w:spacing w:val="-4"/>
          <w:sz w:val="32"/>
          <w:szCs w:val="32"/>
        </w:rPr>
        <w:t>8.家庭贫困，本人罹患重大疾病的学生优先考虑。</w:t>
      </w: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adjustRightInd w:val="0"/>
        <w:snapToGrid w:val="0"/>
        <w:spacing w:line="540" w:lineRule="exact"/>
        <w:ind w:firstLine="616" w:firstLineChars="200"/>
        <w:rPr>
          <w:rFonts w:ascii="黑体" w:hAnsi="黑体" w:eastAsia="黑体" w:cs="宋体"/>
          <w:spacing w:val="-6"/>
          <w:sz w:val="32"/>
          <w:szCs w:val="32"/>
        </w:rPr>
      </w:pPr>
    </w:p>
    <w:p>
      <w:pPr>
        <w:spacing w:line="540" w:lineRule="exact"/>
        <w:rPr>
          <w:rFonts w:ascii="黑体" w:hAnsi="黑体" w:eastAsia="黑体"/>
          <w:color w:val="000000"/>
          <w:spacing w:val="-6"/>
          <w:sz w:val="32"/>
          <w:szCs w:val="32"/>
        </w:rPr>
      </w:pPr>
      <w:r>
        <w:rPr>
          <w:rFonts w:hint="eastAsia" w:ascii="黑体" w:hAnsi="黑体" w:eastAsia="黑体"/>
          <w:color w:val="000000"/>
          <w:spacing w:val="-6"/>
          <w:sz w:val="32"/>
          <w:szCs w:val="32"/>
        </w:rPr>
        <w:t>附件3.</w:t>
      </w:r>
    </w:p>
    <w:p>
      <w:pPr>
        <w:spacing w:line="540" w:lineRule="exact"/>
        <w:ind w:firstLine="1848" w:firstLineChars="600"/>
        <w:rPr>
          <w:rFonts w:ascii="黑体" w:hAnsi="黑体" w:eastAsia="黑体"/>
          <w:color w:val="000000"/>
          <w:spacing w:val="-6"/>
          <w:sz w:val="32"/>
          <w:szCs w:val="32"/>
        </w:rPr>
      </w:pPr>
      <w:r>
        <w:rPr>
          <w:rFonts w:hint="eastAsia" w:ascii="黑体" w:hAnsi="黑体" w:eastAsia="黑体"/>
          <w:color w:val="000000"/>
          <w:spacing w:val="-6"/>
          <w:sz w:val="32"/>
          <w:szCs w:val="32"/>
        </w:rPr>
        <w:t>福州大学2</w:t>
      </w:r>
      <w:r>
        <w:rPr>
          <w:rFonts w:ascii="黑体" w:hAnsi="黑体" w:eastAsia="黑体"/>
          <w:color w:val="000000"/>
          <w:spacing w:val="-6"/>
          <w:sz w:val="32"/>
          <w:szCs w:val="32"/>
        </w:rPr>
        <w:t>019-</w:t>
      </w:r>
      <w:r>
        <w:rPr>
          <w:rFonts w:hint="eastAsia" w:ascii="黑体" w:hAnsi="黑体" w:eastAsia="黑体"/>
          <w:color w:val="000000"/>
          <w:spacing w:val="-6"/>
          <w:sz w:val="32"/>
          <w:szCs w:val="32"/>
        </w:rPr>
        <w:t>20</w:t>
      </w:r>
      <w:r>
        <w:rPr>
          <w:rFonts w:ascii="黑体" w:hAnsi="黑体" w:eastAsia="黑体"/>
          <w:color w:val="000000"/>
          <w:spacing w:val="-6"/>
          <w:sz w:val="32"/>
          <w:szCs w:val="32"/>
        </w:rPr>
        <w:t>20</w:t>
      </w:r>
      <w:r>
        <w:rPr>
          <w:rFonts w:hint="eastAsia" w:ascii="黑体" w:hAnsi="黑体" w:eastAsia="黑体"/>
          <w:color w:val="000000"/>
          <w:spacing w:val="-6"/>
          <w:sz w:val="32"/>
          <w:szCs w:val="32"/>
        </w:rPr>
        <w:t>学年新东方奖助学金</w:t>
      </w:r>
    </w:p>
    <w:p>
      <w:pPr>
        <w:spacing w:line="540" w:lineRule="exact"/>
        <w:ind w:firstLine="616" w:firstLineChars="200"/>
        <w:rPr>
          <w:rFonts w:ascii="楷体_GB2312" w:hAnsi="黑体" w:eastAsia="楷体_GB2312"/>
          <w:color w:val="000000"/>
          <w:spacing w:val="-6"/>
          <w:sz w:val="32"/>
          <w:szCs w:val="32"/>
        </w:rPr>
      </w:pPr>
      <w:r>
        <w:rPr>
          <w:rFonts w:hint="eastAsia" w:ascii="楷体_GB2312" w:hAnsi="黑体" w:eastAsia="楷体_GB2312"/>
          <w:color w:val="000000"/>
          <w:spacing w:val="-6"/>
          <w:sz w:val="32"/>
          <w:szCs w:val="32"/>
        </w:rPr>
        <w:t>一、奖励对象及标准</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1.奖励对象：福州大学正式学籍的全日制在校在读家庭经济困难本科生及兜底对象研究生（不含独立学院），共25人。</w:t>
      </w:r>
      <w:r>
        <w:rPr>
          <w:rFonts w:hint="eastAsia" w:ascii="仿宋_GB2312" w:eastAsia="仿宋_GB2312"/>
          <w:b/>
          <w:bCs/>
          <w:color w:val="C00000"/>
          <w:spacing w:val="-4"/>
          <w:sz w:val="32"/>
          <w:szCs w:val="32"/>
          <w:lang w:eastAsia="zh-CN"/>
        </w:rPr>
        <w:t>学院推荐</w:t>
      </w:r>
      <w:r>
        <w:rPr>
          <w:rFonts w:hint="eastAsia" w:ascii="仿宋_GB2312" w:eastAsia="仿宋_GB2312"/>
          <w:b/>
          <w:bCs/>
          <w:color w:val="C00000"/>
          <w:spacing w:val="-4"/>
          <w:sz w:val="32"/>
          <w:szCs w:val="32"/>
          <w:lang w:val="en-US" w:eastAsia="zh-CN"/>
        </w:rPr>
        <w:t>1名学生参加学校差额评选。</w:t>
      </w:r>
    </w:p>
    <w:p>
      <w:pPr>
        <w:spacing w:line="540" w:lineRule="exact"/>
        <w:ind w:firstLine="616" w:firstLineChars="200"/>
        <w:rPr>
          <w:rFonts w:hint="eastAsia" w:ascii="仿宋_GB2312" w:hAnsi="Calibri" w:eastAsia="仿宋_GB2312"/>
          <w:color w:val="000000"/>
          <w:spacing w:val="-6"/>
          <w:sz w:val="32"/>
          <w:szCs w:val="32"/>
          <w:lang w:eastAsia="zh-CN"/>
        </w:rPr>
      </w:pPr>
      <w:r>
        <w:rPr>
          <w:rFonts w:hint="eastAsia" w:ascii="仿宋_GB2312" w:hAnsi="Calibri" w:eastAsia="仿宋_GB2312"/>
          <w:color w:val="000000"/>
          <w:spacing w:val="-6"/>
          <w:sz w:val="32"/>
          <w:szCs w:val="32"/>
        </w:rPr>
        <w:t>2.奖励标准：每人4000元</w:t>
      </w:r>
      <w:r>
        <w:rPr>
          <w:rFonts w:hint="eastAsia" w:ascii="仿宋_GB2312" w:hAnsi="Calibri" w:eastAsia="仿宋_GB2312"/>
          <w:color w:val="000000"/>
          <w:spacing w:val="-6"/>
          <w:sz w:val="32"/>
          <w:szCs w:val="32"/>
          <w:lang w:eastAsia="zh-CN"/>
        </w:rPr>
        <w:t>。</w:t>
      </w:r>
    </w:p>
    <w:p>
      <w:pPr>
        <w:spacing w:line="540" w:lineRule="exact"/>
        <w:ind w:firstLine="616" w:firstLineChars="200"/>
        <w:rPr>
          <w:rFonts w:ascii="楷体_GB2312" w:hAnsi="黑体" w:eastAsia="楷体_GB2312"/>
          <w:color w:val="000000"/>
          <w:spacing w:val="-6"/>
          <w:sz w:val="32"/>
          <w:szCs w:val="32"/>
        </w:rPr>
      </w:pPr>
      <w:r>
        <w:rPr>
          <w:rFonts w:hint="eastAsia" w:ascii="楷体_GB2312" w:hAnsi="黑体" w:eastAsia="楷体_GB2312"/>
          <w:color w:val="000000"/>
          <w:spacing w:val="-6"/>
          <w:sz w:val="32"/>
          <w:szCs w:val="32"/>
        </w:rPr>
        <w:t>二、评选条件</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1.热爱祖国，遵纪守法，具有良好的思想修养和高尚的道德情操；</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2.在校期间未受过任何纪律处分；</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3.学习刻苦，态度认真，学习成绩良好，没有不及格科目，综合测评排名在本专业前40%；</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4.积极参加社会实践和志愿服务活动，热心环保公益等活动；</w:t>
      </w:r>
    </w:p>
    <w:p>
      <w:pPr>
        <w:spacing w:line="540" w:lineRule="exact"/>
        <w:ind w:firstLine="616" w:firstLineChars="200"/>
        <w:rPr>
          <w:rFonts w:ascii="仿宋_GB2312" w:hAnsi="Calibri" w:eastAsia="仿宋_GB2312"/>
          <w:spacing w:val="-6"/>
          <w:sz w:val="32"/>
          <w:szCs w:val="32"/>
        </w:rPr>
      </w:pPr>
      <w:r>
        <w:rPr>
          <w:rFonts w:hint="eastAsia" w:ascii="仿宋_GB2312" w:hAnsi="Calibri" w:eastAsia="仿宋_GB2312"/>
          <w:spacing w:val="-6"/>
          <w:sz w:val="32"/>
          <w:szCs w:val="32"/>
        </w:rPr>
        <w:t>5.学术思想活跃，有较强的创新能力，参评当年在学科竞赛、科技竞赛、科研创新等方面表现突出；</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6.原则上同一学生在同一学年不能获得两个以上（含两个）大额（单项4000元及以上）单项奖助学金。</w:t>
      </w:r>
    </w:p>
    <w:p>
      <w:pPr>
        <w:spacing w:line="540" w:lineRule="exact"/>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出现下列情形之一者，不得申报：</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1.触犯国家法律或违反校纪校规，受到刑事处罚者或因学校处分在受处分期间者；</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2.上学年学习成绩有不及格科目者；</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3.生活不节俭，有不良消费习惯者；</w:t>
      </w:r>
    </w:p>
    <w:p>
      <w:pPr>
        <w:spacing w:line="540" w:lineRule="exact"/>
        <w:ind w:firstLine="616" w:firstLineChars="200"/>
        <w:rPr>
          <w:rFonts w:ascii="仿宋_GB2312" w:hAnsi="Calibri" w:eastAsia="仿宋_GB2312"/>
          <w:color w:val="000000"/>
          <w:spacing w:val="-6"/>
          <w:sz w:val="32"/>
          <w:szCs w:val="32"/>
        </w:rPr>
      </w:pPr>
      <w:r>
        <w:rPr>
          <w:rFonts w:hint="eastAsia" w:ascii="仿宋_GB2312" w:hAnsi="Calibri" w:eastAsia="仿宋_GB2312"/>
          <w:color w:val="000000"/>
          <w:spacing w:val="-6"/>
          <w:sz w:val="32"/>
          <w:szCs w:val="32"/>
        </w:rPr>
        <w:t>4.因故中途退学、休学者；</w:t>
      </w:r>
    </w:p>
    <w:p>
      <w:pPr>
        <w:spacing w:line="540" w:lineRule="exact"/>
        <w:ind w:firstLine="616" w:firstLineChars="200"/>
        <w:rPr>
          <w:rFonts w:ascii="仿宋_GB2312" w:eastAsia="仿宋_GB2312"/>
          <w:color w:val="000000"/>
          <w:spacing w:val="-6"/>
          <w:sz w:val="32"/>
          <w:szCs w:val="32"/>
        </w:rPr>
      </w:pPr>
      <w:r>
        <w:rPr>
          <w:rFonts w:hint="eastAsia" w:ascii="仿宋_GB2312" w:hAnsi="Calibri" w:eastAsia="仿宋_GB2312"/>
          <w:color w:val="000000"/>
          <w:spacing w:val="-6"/>
          <w:sz w:val="32"/>
          <w:szCs w:val="32"/>
        </w:rPr>
        <w:t>5.故意隐瞒或虚报家庭经济收入者。</w:t>
      </w:r>
      <w:r>
        <w:rPr>
          <w:rFonts w:hint="eastAsia" w:ascii="仿宋_GB2312" w:eastAsia="仿宋_GB2312"/>
          <w:color w:val="000000"/>
          <w:spacing w:val="-6"/>
          <w:sz w:val="32"/>
          <w:szCs w:val="32"/>
        </w:rPr>
        <w:t xml:space="preserve"> </w:t>
      </w: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p>
    <w:p>
      <w:pPr>
        <w:adjustRightInd w:val="0"/>
        <w:snapToGrid w:val="0"/>
        <w:spacing w:line="540" w:lineRule="exact"/>
        <w:rPr>
          <w:rFonts w:ascii="黑体" w:hAnsi="黑体" w:eastAsia="黑体" w:cs="宋体"/>
          <w:spacing w:val="-6"/>
          <w:sz w:val="32"/>
          <w:szCs w:val="32"/>
        </w:rPr>
      </w:pPr>
      <w:r>
        <w:rPr>
          <w:rFonts w:hint="eastAsia" w:ascii="黑体" w:hAnsi="黑体" w:eastAsia="黑体" w:cs="宋体"/>
          <w:spacing w:val="-6"/>
          <w:sz w:val="32"/>
          <w:szCs w:val="32"/>
        </w:rPr>
        <w:t>附件4.</w:t>
      </w:r>
    </w:p>
    <w:p>
      <w:pPr>
        <w:adjustRightInd w:val="0"/>
        <w:snapToGrid w:val="0"/>
        <w:spacing w:line="540" w:lineRule="exact"/>
        <w:jc w:val="center"/>
        <w:rPr>
          <w:rFonts w:ascii="黑体" w:hAnsi="黑体" w:eastAsia="黑体" w:cs="黑体"/>
          <w:b/>
          <w:spacing w:val="-6"/>
          <w:sz w:val="32"/>
          <w:szCs w:val="32"/>
        </w:rPr>
      </w:pPr>
      <w:r>
        <w:rPr>
          <w:rFonts w:hint="eastAsia" w:ascii="黑体" w:hAnsi="黑体" w:eastAsia="黑体" w:cs="黑体"/>
          <w:b/>
          <w:spacing w:val="-6"/>
          <w:sz w:val="32"/>
          <w:szCs w:val="32"/>
        </w:rPr>
        <w:t>2019-2020学年内地高校新疆籍家庭经济困难学生资助金</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一、资助对象及标准</w:t>
      </w:r>
    </w:p>
    <w:p>
      <w:pPr>
        <w:adjustRightInd w:val="0"/>
        <w:snapToGrid w:val="0"/>
        <w:spacing w:line="540" w:lineRule="exact"/>
        <w:ind w:firstLine="616" w:firstLineChars="200"/>
        <w:rPr>
          <w:rFonts w:hint="eastAsia" w:ascii="仿宋_GB2312" w:eastAsia="仿宋_GB2312"/>
          <w:spacing w:val="-6"/>
          <w:sz w:val="32"/>
          <w:szCs w:val="32"/>
          <w:lang w:eastAsia="zh-CN"/>
        </w:rPr>
      </w:pPr>
      <w:r>
        <w:rPr>
          <w:rFonts w:hint="eastAsia" w:ascii="仿宋_GB2312" w:eastAsia="仿宋_GB2312"/>
          <w:spacing w:val="-6"/>
          <w:sz w:val="32"/>
          <w:szCs w:val="32"/>
        </w:rPr>
        <w:t>1</w:t>
      </w:r>
      <w:r>
        <w:rPr>
          <w:rFonts w:ascii="仿宋_GB2312" w:eastAsia="仿宋_GB2312"/>
          <w:spacing w:val="-6"/>
          <w:sz w:val="32"/>
          <w:szCs w:val="32"/>
        </w:rPr>
        <w:t>.</w:t>
      </w:r>
      <w:r>
        <w:rPr>
          <w:rFonts w:hint="eastAsia" w:ascii="仿宋_GB2312" w:eastAsia="仿宋_GB2312"/>
          <w:spacing w:val="-6"/>
          <w:sz w:val="32"/>
          <w:szCs w:val="32"/>
        </w:rPr>
        <w:t>资助对象：家庭经济困难且品学兼优的全日制在校新疆籍学生。</w:t>
      </w:r>
      <w:r>
        <w:rPr>
          <w:rFonts w:hint="eastAsia" w:ascii="仿宋_GB2312" w:eastAsia="仿宋_GB2312"/>
          <w:b/>
          <w:bCs/>
          <w:color w:val="C00000"/>
          <w:spacing w:val="-6"/>
          <w:sz w:val="32"/>
          <w:szCs w:val="32"/>
          <w:lang w:eastAsia="zh-CN"/>
        </w:rPr>
        <w:t>学院根据学生实际情况推荐。</w:t>
      </w:r>
    </w:p>
    <w:p>
      <w:pPr>
        <w:adjustRightInd w:val="0"/>
        <w:snapToGrid w:val="0"/>
        <w:spacing w:line="540" w:lineRule="exact"/>
        <w:ind w:firstLine="616" w:firstLineChars="200"/>
        <w:rPr>
          <w:rFonts w:hint="eastAsia" w:ascii="仿宋_GB2312" w:eastAsia="仿宋_GB2312"/>
          <w:spacing w:val="-6"/>
          <w:sz w:val="32"/>
          <w:szCs w:val="32"/>
          <w:lang w:eastAsia="zh-CN"/>
        </w:rPr>
      </w:pPr>
      <w:r>
        <w:rPr>
          <w:rFonts w:ascii="仿宋_GB2312" w:eastAsia="仿宋_GB2312"/>
          <w:spacing w:val="-6"/>
          <w:sz w:val="32"/>
          <w:szCs w:val="32"/>
        </w:rPr>
        <w:t>2.</w:t>
      </w:r>
      <w:r>
        <w:rPr>
          <w:rFonts w:hint="eastAsia" w:ascii="仿宋_GB2312" w:eastAsia="仿宋_GB2312"/>
          <w:spacing w:val="-6"/>
          <w:sz w:val="32"/>
          <w:szCs w:val="32"/>
        </w:rPr>
        <w:t>奖励标准：根据学生实际困难程度、学习成绩和日常表现分三个等级资助：一等15人，每人每年资助3000元；二等20人，每人每年资助2000元；三等</w:t>
      </w:r>
      <w:r>
        <w:rPr>
          <w:rFonts w:hint="eastAsia" w:ascii="仿宋_GB2312" w:eastAsia="仿宋_GB2312"/>
          <w:spacing w:val="-6"/>
          <w:sz w:val="32"/>
          <w:szCs w:val="32"/>
          <w:lang w:val="en-US" w:eastAsia="zh-CN"/>
        </w:rPr>
        <w:t>3</w:t>
      </w:r>
      <w:r>
        <w:rPr>
          <w:rFonts w:hint="eastAsia" w:ascii="仿宋_GB2312" w:eastAsia="仿宋_GB2312"/>
          <w:spacing w:val="-6"/>
          <w:sz w:val="32"/>
          <w:szCs w:val="32"/>
        </w:rPr>
        <w:t>5人，每人每年资助1000元。</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二、申报条件</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申请人应具备如下条件：</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1.热爱社会主义祖国，拥护中国共产党的领导，坚持“五个认同”；</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2.遵守宪法和法律，遵守学校规章制度；</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3.诚实守信，道德品质优良；</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4.在校期间学习刻苦，社会实践、创新能力、综合素质等方面突出。</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有下列情形之一者，应取消、暂停或减少资助。</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1.触犯国家法律法，违反校纪校规受到各种处分；</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2.学习主观不努力，两门主要课程（必修课）补考不及格者；</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3.虽未受到处分，但日常行为表现不好者；</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4.休学或保留入学资格期间；</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5.谎报家庭经济情况或本人生活状况；</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6.有其他不符合大学生行为规范言行的。</w:t>
      </w:r>
    </w:p>
    <w:p>
      <w:pPr>
        <w:adjustRightInd w:val="0"/>
        <w:snapToGrid w:val="0"/>
        <w:spacing w:line="540" w:lineRule="exact"/>
        <w:ind w:firstLine="616" w:firstLineChars="200"/>
        <w:rPr>
          <w:rFonts w:ascii="仿宋_GB2312" w:eastAsia="仿宋_GB2312"/>
          <w:spacing w:val="-6"/>
          <w:sz w:val="32"/>
          <w:szCs w:val="32"/>
        </w:rPr>
      </w:pPr>
    </w:p>
    <w:p>
      <w:pPr>
        <w:adjustRightInd w:val="0"/>
        <w:snapToGrid w:val="0"/>
        <w:spacing w:line="540" w:lineRule="exact"/>
        <w:rPr>
          <w:rFonts w:ascii="黑体" w:hAnsi="黑体" w:eastAsia="黑体" w:cs="黑体"/>
          <w:b/>
          <w:bCs/>
          <w:spacing w:val="-6"/>
          <w:sz w:val="32"/>
          <w:szCs w:val="32"/>
        </w:rPr>
      </w:pPr>
      <w:r>
        <w:rPr>
          <w:rFonts w:hint="eastAsia" w:ascii="黑体" w:hAnsi="黑体" w:eastAsia="黑体" w:cs="黑体"/>
          <w:b/>
          <w:bCs/>
          <w:spacing w:val="-6"/>
          <w:sz w:val="32"/>
          <w:szCs w:val="32"/>
        </w:rPr>
        <w:t>附件5.</w:t>
      </w:r>
    </w:p>
    <w:p>
      <w:pPr>
        <w:adjustRightInd w:val="0"/>
        <w:snapToGrid w:val="0"/>
        <w:spacing w:line="540" w:lineRule="exact"/>
        <w:jc w:val="center"/>
        <w:rPr>
          <w:rFonts w:ascii="仿宋_GB2312" w:eastAsia="仿宋_GB2312"/>
          <w:b/>
          <w:spacing w:val="-6"/>
          <w:sz w:val="32"/>
          <w:szCs w:val="32"/>
        </w:rPr>
      </w:pPr>
      <w:r>
        <w:rPr>
          <w:rFonts w:hint="eastAsia" w:ascii="黑体" w:hAnsi="黑体" w:eastAsia="黑体" w:cs="黑体"/>
          <w:b/>
          <w:spacing w:val="-6"/>
          <w:sz w:val="32"/>
          <w:szCs w:val="32"/>
        </w:rPr>
        <w:t>福州大学第三届福化奖学金</w:t>
      </w:r>
    </w:p>
    <w:p>
      <w:pPr>
        <w:adjustRightInd w:val="0"/>
        <w:snapToGrid w:val="0"/>
        <w:spacing w:line="540" w:lineRule="exact"/>
        <w:ind w:firstLine="616" w:firstLineChars="200"/>
        <w:rPr>
          <w:rFonts w:ascii="楷体_GB2312" w:hAnsi="黑体" w:eastAsia="楷体_GB2312"/>
          <w:spacing w:val="-6"/>
          <w:sz w:val="32"/>
          <w:szCs w:val="32"/>
        </w:rPr>
      </w:pPr>
      <w:r>
        <w:rPr>
          <w:rFonts w:hint="eastAsia" w:ascii="楷体_GB2312" w:hAnsi="黑体" w:eastAsia="楷体_GB2312"/>
          <w:spacing w:val="-6"/>
          <w:sz w:val="32"/>
          <w:szCs w:val="32"/>
        </w:rPr>
        <w:t>一、奖励对象及标准</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1.奖励对象：福州大学具有中华人民共和国国籍和正式学籍的</w:t>
      </w:r>
    </w:p>
    <w:p>
      <w:pPr>
        <w:adjustRightInd w:val="0"/>
        <w:snapToGrid w:val="0"/>
        <w:spacing w:line="540" w:lineRule="exact"/>
        <w:rPr>
          <w:rFonts w:ascii="仿宋_GB2312" w:eastAsia="仿宋_GB2312"/>
          <w:spacing w:val="-6"/>
          <w:sz w:val="32"/>
          <w:szCs w:val="32"/>
        </w:rPr>
      </w:pPr>
      <w:r>
        <w:rPr>
          <w:rFonts w:hint="eastAsia" w:ascii="仿宋_GB2312" w:eastAsia="仿宋_GB2312"/>
          <w:spacing w:val="-6"/>
          <w:sz w:val="32"/>
          <w:szCs w:val="32"/>
        </w:rPr>
        <w:t>全日制在校</w:t>
      </w:r>
      <w:r>
        <w:rPr>
          <w:rFonts w:hint="eastAsia" w:ascii="仿宋_GB2312" w:eastAsia="仿宋_GB2312"/>
          <w:b/>
          <w:bCs/>
          <w:color w:val="C00000"/>
          <w:spacing w:val="-6"/>
          <w:sz w:val="32"/>
          <w:szCs w:val="32"/>
        </w:rPr>
        <w:t>在读三年级本科生</w:t>
      </w:r>
      <w:r>
        <w:rPr>
          <w:rFonts w:hint="eastAsia" w:ascii="仿宋_GB2312" w:eastAsia="仿宋_GB2312"/>
          <w:spacing w:val="-6"/>
          <w:sz w:val="32"/>
          <w:szCs w:val="32"/>
        </w:rPr>
        <w:t>及纳入全国研究生招生计划的全日制（全脱产学习）</w:t>
      </w:r>
      <w:r>
        <w:rPr>
          <w:rFonts w:hint="eastAsia" w:ascii="仿宋_GB2312" w:eastAsia="仿宋_GB2312"/>
          <w:b/>
          <w:bCs/>
          <w:color w:val="C00000"/>
          <w:spacing w:val="-6"/>
          <w:sz w:val="32"/>
          <w:szCs w:val="32"/>
        </w:rPr>
        <w:t>二年级研究生</w:t>
      </w:r>
      <w:r>
        <w:rPr>
          <w:rFonts w:hint="eastAsia" w:ascii="仿宋_GB2312" w:eastAsia="仿宋_GB2312"/>
          <w:spacing w:val="-6"/>
          <w:sz w:val="32"/>
          <w:szCs w:val="32"/>
        </w:rPr>
        <w:t>。其中，学校与各科研所联合培养的研究生可提出申请。直博、硕博连读研究生在获得博士研究生学籍之前，按照硕士研究生身份申请；学籍注册为博士研究生后，按照博士研究生身份申请。</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2.奖励标准：本科生10000元/人；硕士研究生15000元/人；博士研究生20000元/人。</w:t>
      </w:r>
    </w:p>
    <w:p>
      <w:pPr>
        <w:adjustRightInd w:val="0"/>
        <w:snapToGrid w:val="0"/>
        <w:spacing w:line="540" w:lineRule="exact"/>
        <w:ind w:firstLine="616" w:firstLineChars="200"/>
        <w:rPr>
          <w:rFonts w:ascii="仿宋_GB2312" w:eastAsia="仿宋_GB2312"/>
          <w:b/>
          <w:spacing w:val="-6"/>
          <w:sz w:val="32"/>
          <w:szCs w:val="32"/>
        </w:rPr>
      </w:pPr>
      <w:r>
        <w:rPr>
          <w:rFonts w:hint="eastAsia" w:ascii="仿宋_GB2312" w:eastAsia="仿宋_GB2312"/>
          <w:spacing w:val="-6"/>
          <w:sz w:val="32"/>
          <w:szCs w:val="32"/>
        </w:rPr>
        <w:t>3.</w:t>
      </w:r>
      <w:r>
        <w:rPr>
          <w:rFonts w:hint="eastAsia" w:ascii="Calibri" w:hAnsi="Calibri" w:eastAsia="仿宋_GB2312" w:cs="Calibri"/>
          <w:spacing w:val="-6"/>
          <w:sz w:val="32"/>
          <w:szCs w:val="32"/>
        </w:rPr>
        <w:t>奖励名额：</w:t>
      </w:r>
    </w:p>
    <w:tbl>
      <w:tblPr>
        <w:tblStyle w:val="5"/>
        <w:tblW w:w="9288" w:type="dxa"/>
        <w:jc w:val="center"/>
        <w:shd w:val="clear" w:color="auto" w:fill="FFFFFF"/>
        <w:tblLayout w:type="fixed"/>
        <w:tblCellMar>
          <w:top w:w="0" w:type="dxa"/>
          <w:left w:w="108" w:type="dxa"/>
          <w:bottom w:w="0" w:type="dxa"/>
          <w:right w:w="108" w:type="dxa"/>
        </w:tblCellMar>
      </w:tblPr>
      <w:tblGrid>
        <w:gridCol w:w="1276"/>
        <w:gridCol w:w="2066"/>
        <w:gridCol w:w="3210"/>
        <w:gridCol w:w="43"/>
        <w:gridCol w:w="2681"/>
        <w:gridCol w:w="12"/>
      </w:tblGrid>
      <w:tr>
        <w:tblPrEx>
          <w:shd w:val="clear" w:color="auto" w:fill="FFFFFF"/>
          <w:tblCellMar>
            <w:top w:w="0" w:type="dxa"/>
            <w:left w:w="108" w:type="dxa"/>
            <w:bottom w:w="0" w:type="dxa"/>
            <w:right w:w="108" w:type="dxa"/>
          </w:tblCellMar>
        </w:tblPrEx>
        <w:trPr>
          <w:gridAfter w:val="1"/>
          <w:wAfter w:w="12" w:type="dxa"/>
          <w:trHeight w:val="539" w:hRule="atLeast"/>
          <w:jc w:val="center"/>
        </w:trPr>
        <w:tc>
          <w:tcPr>
            <w:tcW w:w="9276" w:type="dxa"/>
            <w:gridSpan w:val="5"/>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adjustRightInd w:val="0"/>
              <w:snapToGrid w:val="0"/>
              <w:ind w:firstLine="616" w:firstLineChars="200"/>
              <w:jc w:val="center"/>
              <w:rPr>
                <w:rFonts w:ascii="仿宋_GB2312" w:eastAsia="仿宋_GB2312"/>
                <w:spacing w:val="-6"/>
                <w:sz w:val="32"/>
                <w:szCs w:val="32"/>
              </w:rPr>
            </w:pPr>
            <w:r>
              <w:rPr>
                <w:rFonts w:hint="eastAsia" w:ascii="仿宋_GB2312" w:eastAsia="仿宋_GB2312"/>
                <w:spacing w:val="-6"/>
                <w:sz w:val="32"/>
                <w:szCs w:val="32"/>
              </w:rPr>
              <w:t>学院/培养单位（不含石化学院）</w:t>
            </w:r>
          </w:p>
        </w:tc>
      </w:tr>
      <w:tr>
        <w:tblPrEx>
          <w:tblCellMar>
            <w:top w:w="0" w:type="dxa"/>
            <w:left w:w="108" w:type="dxa"/>
            <w:bottom w:w="0" w:type="dxa"/>
            <w:right w:w="108" w:type="dxa"/>
          </w:tblCellMar>
        </w:tblPrEx>
        <w:trPr>
          <w:gridAfter w:val="1"/>
          <w:wAfter w:w="12" w:type="dxa"/>
          <w:trHeight w:val="540" w:hRule="atLeast"/>
          <w:jc w:val="center"/>
        </w:trPr>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rFonts w:ascii="仿宋_GB2312" w:eastAsia="仿宋_GB2312"/>
                <w:spacing w:val="-6"/>
                <w:sz w:val="22"/>
                <w:szCs w:val="32"/>
              </w:rPr>
            </w:pPr>
            <w:r>
              <w:rPr>
                <w:rFonts w:hint="eastAsia" w:ascii="Calibri" w:hAnsi="Calibri" w:eastAsia="仿宋_GB2312" w:cs="Calibri"/>
                <w:spacing w:val="-6"/>
                <w:sz w:val="22"/>
                <w:szCs w:val="32"/>
              </w:rPr>
              <w:t>培养层次</w:t>
            </w:r>
          </w:p>
        </w:tc>
        <w:tc>
          <w:tcPr>
            <w:tcW w:w="206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rFonts w:ascii="Calibri" w:hAnsi="Calibri" w:eastAsia="仿宋_GB2312" w:cs="Calibri"/>
                <w:spacing w:val="-6"/>
                <w:sz w:val="22"/>
                <w:szCs w:val="32"/>
              </w:rPr>
            </w:pPr>
            <w:r>
              <w:rPr>
                <w:rFonts w:hint="eastAsia" w:ascii="Calibri" w:hAnsi="Calibri" w:eastAsia="仿宋_GB2312" w:cs="Calibri"/>
                <w:spacing w:val="-6"/>
                <w:sz w:val="22"/>
                <w:szCs w:val="32"/>
              </w:rPr>
              <w:t>本科生</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rFonts w:ascii="Calibri" w:hAnsi="Calibri" w:eastAsia="仿宋_GB2312" w:cs="Calibri"/>
                <w:spacing w:val="-6"/>
                <w:sz w:val="22"/>
                <w:szCs w:val="32"/>
              </w:rPr>
            </w:pPr>
            <w:r>
              <w:rPr>
                <w:rFonts w:hint="eastAsia" w:ascii="Calibri" w:hAnsi="Calibri" w:eastAsia="仿宋_GB2312" w:cs="Calibri"/>
                <w:spacing w:val="-6"/>
                <w:sz w:val="22"/>
                <w:szCs w:val="32"/>
              </w:rPr>
              <w:t>硕士研究生</w:t>
            </w:r>
          </w:p>
        </w:tc>
        <w:tc>
          <w:tcPr>
            <w:tcW w:w="272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adjustRightInd w:val="0"/>
              <w:snapToGrid w:val="0"/>
              <w:jc w:val="center"/>
              <w:rPr>
                <w:rFonts w:ascii="Calibri" w:hAnsi="Calibri" w:eastAsia="仿宋_GB2312" w:cs="Calibri"/>
                <w:spacing w:val="-6"/>
                <w:sz w:val="22"/>
                <w:szCs w:val="32"/>
              </w:rPr>
            </w:pPr>
            <w:r>
              <w:rPr>
                <w:rFonts w:hint="eastAsia" w:ascii="Calibri" w:hAnsi="Calibri" w:eastAsia="仿宋_GB2312" w:cs="Calibri"/>
                <w:spacing w:val="-6"/>
                <w:sz w:val="22"/>
                <w:szCs w:val="32"/>
              </w:rPr>
              <w:t>博士研究生</w:t>
            </w:r>
          </w:p>
        </w:tc>
      </w:tr>
      <w:tr>
        <w:tblPrEx>
          <w:tblCellMar>
            <w:top w:w="0" w:type="dxa"/>
            <w:left w:w="108" w:type="dxa"/>
            <w:bottom w:w="0" w:type="dxa"/>
            <w:right w:w="108" w:type="dxa"/>
          </w:tblCellMar>
        </w:tblPrEx>
        <w:trPr>
          <w:gridAfter w:val="1"/>
          <w:wAfter w:w="12" w:type="dxa"/>
          <w:trHeight w:val="402" w:hRule="atLeast"/>
          <w:jc w:val="center"/>
        </w:trPr>
        <w:tc>
          <w:tcPr>
            <w:tcW w:w="1276" w:type="dxa"/>
            <w:tcBorders>
              <w:top w:val="nil"/>
              <w:left w:val="single" w:color="auto" w:sz="4" w:space="0"/>
              <w:bottom w:val="single" w:color="auto" w:sz="4" w:space="0"/>
              <w:right w:val="single" w:color="auto" w:sz="4" w:space="0"/>
            </w:tcBorders>
            <w:shd w:val="clear" w:color="auto" w:fill="FFFFFF"/>
            <w:noWrap/>
            <w:vAlign w:val="center"/>
          </w:tcPr>
          <w:p>
            <w:pPr>
              <w:widowControl/>
              <w:adjustRightInd w:val="0"/>
              <w:snapToGrid w:val="0"/>
              <w:jc w:val="center"/>
              <w:rPr>
                <w:rFonts w:ascii="仿宋_GB2312" w:eastAsia="仿宋_GB2312"/>
                <w:spacing w:val="-6"/>
                <w:sz w:val="22"/>
                <w:szCs w:val="32"/>
              </w:rPr>
            </w:pPr>
            <w:r>
              <w:rPr>
                <w:rFonts w:hint="eastAsia" w:ascii="Calibri" w:hAnsi="Calibri" w:eastAsia="仿宋_GB2312" w:cs="Calibri"/>
                <w:spacing w:val="-6"/>
                <w:sz w:val="22"/>
                <w:szCs w:val="32"/>
              </w:rPr>
              <w:t>奖</w:t>
            </w:r>
            <w:r>
              <w:rPr>
                <w:rFonts w:hint="eastAsia" w:ascii="仿宋_GB2312" w:eastAsia="仿宋_GB2312"/>
                <w:spacing w:val="-6"/>
                <w:sz w:val="22"/>
                <w:szCs w:val="32"/>
              </w:rPr>
              <w:t>励人数</w:t>
            </w:r>
          </w:p>
        </w:tc>
        <w:tc>
          <w:tcPr>
            <w:tcW w:w="2066" w:type="dxa"/>
            <w:tcBorders>
              <w:top w:val="nil"/>
              <w:left w:val="nil"/>
              <w:bottom w:val="single" w:color="auto" w:sz="4" w:space="0"/>
              <w:right w:val="single" w:color="auto" w:sz="4" w:space="0"/>
            </w:tcBorders>
            <w:shd w:val="clear" w:color="auto" w:fill="FFFFFF"/>
            <w:noWrap/>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10人</w:t>
            </w:r>
          </w:p>
        </w:tc>
        <w:tc>
          <w:tcPr>
            <w:tcW w:w="3210" w:type="dxa"/>
            <w:tcBorders>
              <w:top w:val="single" w:color="auto" w:sz="4" w:space="0"/>
              <w:left w:val="nil"/>
              <w:bottom w:val="single" w:color="auto" w:sz="4" w:space="0"/>
              <w:right w:val="single" w:color="auto" w:sz="4" w:space="0"/>
            </w:tcBorders>
            <w:shd w:val="clear" w:color="auto" w:fill="FFFFFF"/>
            <w:noWrap/>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9人</w:t>
            </w:r>
          </w:p>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（含第二届递补3人）</w:t>
            </w:r>
          </w:p>
        </w:tc>
        <w:tc>
          <w:tcPr>
            <w:tcW w:w="2724" w:type="dxa"/>
            <w:gridSpan w:val="2"/>
            <w:tcBorders>
              <w:top w:val="single" w:color="auto" w:sz="4" w:space="0"/>
              <w:left w:val="nil"/>
              <w:bottom w:val="single" w:color="auto" w:sz="4" w:space="0"/>
              <w:right w:val="single" w:color="auto" w:sz="4" w:space="0"/>
            </w:tcBorders>
            <w:shd w:val="clear" w:color="auto" w:fill="FFFFFF"/>
            <w:noWrap/>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3人</w:t>
            </w:r>
          </w:p>
        </w:tc>
      </w:tr>
      <w:tr>
        <w:tblPrEx>
          <w:tblCellMar>
            <w:top w:w="0" w:type="dxa"/>
            <w:left w:w="108" w:type="dxa"/>
            <w:bottom w:w="0" w:type="dxa"/>
            <w:right w:w="108" w:type="dxa"/>
          </w:tblCellMar>
        </w:tblPrEx>
        <w:trPr>
          <w:trHeight w:val="1500" w:hRule="atLeast"/>
          <w:jc w:val="center"/>
        </w:trPr>
        <w:tc>
          <w:tcPr>
            <w:tcW w:w="1276" w:type="dxa"/>
            <w:tcBorders>
              <w:top w:val="nil"/>
              <w:left w:val="single" w:color="auto" w:sz="4" w:space="0"/>
              <w:bottom w:val="single" w:color="auto" w:sz="4" w:space="0"/>
              <w:right w:val="single" w:color="auto" w:sz="4" w:space="0"/>
            </w:tcBorders>
            <w:shd w:val="clear" w:color="auto" w:fill="FFFFFF"/>
            <w:noWrap/>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推荐</w:t>
            </w:r>
          </w:p>
          <w:p>
            <w:pPr>
              <w:widowControl/>
              <w:adjustRightInd w:val="0"/>
              <w:snapToGrid w:val="0"/>
              <w:jc w:val="center"/>
              <w:rPr>
                <w:rFonts w:ascii="仿宋_GB2312" w:eastAsia="仿宋_GB2312"/>
                <w:spacing w:val="-6"/>
                <w:sz w:val="22"/>
                <w:szCs w:val="32"/>
              </w:rPr>
            </w:pPr>
            <w:r>
              <w:rPr>
                <w:rFonts w:hint="eastAsia" w:ascii="仿宋_GB2312" w:eastAsia="仿宋_GB2312"/>
                <w:spacing w:val="-6"/>
                <w:sz w:val="22"/>
                <w:szCs w:val="32"/>
              </w:rPr>
              <w:t>指标</w:t>
            </w:r>
          </w:p>
        </w:tc>
        <w:tc>
          <w:tcPr>
            <w:tcW w:w="2066" w:type="dxa"/>
            <w:tcBorders>
              <w:top w:val="nil"/>
              <w:left w:val="nil"/>
              <w:bottom w:val="single" w:color="auto" w:sz="4" w:space="0"/>
              <w:right w:val="single" w:color="auto" w:sz="4" w:space="0"/>
            </w:tcBorders>
            <w:shd w:val="clear" w:color="auto" w:fill="FFFFFF"/>
            <w:noWrap/>
            <w:vAlign w:val="center"/>
          </w:tcPr>
          <w:p>
            <w:pPr>
              <w:widowControl/>
              <w:adjustRightInd w:val="0"/>
              <w:snapToGrid w:val="0"/>
              <w:jc w:val="center"/>
              <w:rPr>
                <w:rFonts w:hint="eastAsia" w:ascii="仿宋_GB2312" w:eastAsia="仿宋_GB2312"/>
                <w:spacing w:val="-6"/>
                <w:sz w:val="22"/>
                <w:szCs w:val="32"/>
                <w:lang w:eastAsia="zh-CN"/>
              </w:rPr>
            </w:pPr>
            <w:r>
              <w:rPr>
                <w:rFonts w:hint="eastAsia" w:ascii="仿宋_GB2312" w:eastAsia="仿宋_GB2312"/>
                <w:b/>
                <w:bCs/>
                <w:color w:val="C00000"/>
                <w:spacing w:val="-6"/>
                <w:sz w:val="22"/>
                <w:szCs w:val="32"/>
                <w:lang w:eastAsia="zh-CN"/>
              </w:rPr>
              <w:t>学院推荐</w:t>
            </w:r>
            <w:r>
              <w:rPr>
                <w:rFonts w:hint="eastAsia" w:ascii="仿宋_GB2312" w:eastAsia="仿宋_GB2312"/>
                <w:b/>
                <w:bCs/>
                <w:color w:val="C00000"/>
                <w:spacing w:val="-6"/>
                <w:sz w:val="22"/>
                <w:szCs w:val="32"/>
                <w:lang w:val="en-US" w:eastAsia="zh-CN"/>
              </w:rPr>
              <w:t>1名学生参加学校差额评选。</w:t>
            </w:r>
          </w:p>
        </w:tc>
        <w:tc>
          <w:tcPr>
            <w:tcW w:w="3253" w:type="dxa"/>
            <w:gridSpan w:val="2"/>
            <w:tcBorders>
              <w:top w:val="single" w:color="auto" w:sz="4" w:space="0"/>
              <w:left w:val="nil"/>
              <w:bottom w:val="single" w:color="auto" w:sz="4" w:space="0"/>
              <w:right w:val="single" w:color="auto" w:sz="4" w:space="0"/>
            </w:tcBorders>
            <w:shd w:val="clear" w:color="auto" w:fill="FFFFFF"/>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b/>
                <w:bCs/>
                <w:color w:val="C00000"/>
                <w:spacing w:val="-6"/>
                <w:sz w:val="22"/>
                <w:szCs w:val="32"/>
                <w:lang w:eastAsia="zh-CN"/>
              </w:rPr>
              <w:t>学院推荐</w:t>
            </w:r>
            <w:r>
              <w:rPr>
                <w:rFonts w:hint="eastAsia" w:ascii="仿宋_GB2312" w:eastAsia="仿宋_GB2312"/>
                <w:b/>
                <w:bCs/>
                <w:color w:val="C00000"/>
                <w:spacing w:val="-6"/>
                <w:sz w:val="22"/>
                <w:szCs w:val="32"/>
                <w:lang w:val="en-US" w:eastAsia="zh-CN"/>
              </w:rPr>
              <w:t>1名学生参加学校差额评选。</w:t>
            </w:r>
          </w:p>
        </w:tc>
        <w:tc>
          <w:tcPr>
            <w:tcW w:w="2693" w:type="dxa"/>
            <w:gridSpan w:val="2"/>
            <w:tcBorders>
              <w:top w:val="single" w:color="auto" w:sz="4" w:space="0"/>
              <w:left w:val="nil"/>
              <w:bottom w:val="single" w:color="auto" w:sz="4" w:space="0"/>
              <w:right w:val="single" w:color="auto" w:sz="4" w:space="0"/>
            </w:tcBorders>
            <w:shd w:val="clear" w:color="auto" w:fill="FFFFFF"/>
            <w:vAlign w:val="center"/>
          </w:tcPr>
          <w:p>
            <w:pPr>
              <w:widowControl/>
              <w:adjustRightInd w:val="0"/>
              <w:snapToGrid w:val="0"/>
              <w:jc w:val="center"/>
              <w:rPr>
                <w:rFonts w:ascii="仿宋_GB2312" w:eastAsia="仿宋_GB2312"/>
                <w:spacing w:val="-6"/>
                <w:sz w:val="22"/>
                <w:szCs w:val="32"/>
              </w:rPr>
            </w:pPr>
            <w:r>
              <w:rPr>
                <w:rFonts w:hint="eastAsia" w:ascii="仿宋_GB2312" w:eastAsia="仿宋_GB2312"/>
                <w:b/>
                <w:bCs/>
                <w:color w:val="C00000"/>
                <w:spacing w:val="-6"/>
                <w:sz w:val="22"/>
                <w:szCs w:val="32"/>
                <w:lang w:eastAsia="zh-CN"/>
              </w:rPr>
              <w:t>学院推荐</w:t>
            </w:r>
            <w:r>
              <w:rPr>
                <w:rFonts w:hint="eastAsia" w:ascii="仿宋_GB2312" w:eastAsia="仿宋_GB2312"/>
                <w:b/>
                <w:bCs/>
                <w:color w:val="C00000"/>
                <w:spacing w:val="-6"/>
                <w:sz w:val="22"/>
                <w:szCs w:val="32"/>
                <w:lang w:val="en-US" w:eastAsia="zh-CN"/>
              </w:rPr>
              <w:t>1名学生参加学校差额评选。</w:t>
            </w:r>
          </w:p>
        </w:tc>
      </w:tr>
    </w:tbl>
    <w:p>
      <w:pPr>
        <w:adjustRightInd w:val="0"/>
        <w:snapToGrid w:val="0"/>
        <w:spacing w:line="540" w:lineRule="exact"/>
        <w:ind w:firstLine="616" w:firstLineChars="200"/>
        <w:rPr>
          <w:rFonts w:ascii="楷体_GB2312" w:hAnsi="黑体" w:eastAsia="楷体_GB2312"/>
          <w:spacing w:val="-6"/>
          <w:sz w:val="32"/>
          <w:szCs w:val="32"/>
        </w:rPr>
      </w:pPr>
      <w:bookmarkStart w:id="0" w:name="_GoBack"/>
      <w:bookmarkEnd w:id="0"/>
      <w:r>
        <w:rPr>
          <w:rFonts w:hint="eastAsia" w:ascii="楷体_GB2312" w:hAnsi="黑体" w:eastAsia="楷体_GB2312"/>
          <w:spacing w:val="-6"/>
          <w:sz w:val="32"/>
          <w:szCs w:val="32"/>
        </w:rPr>
        <w:t>二、评选条件</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1.本科生申请人应具备如下条件：</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（1）热爱祖国，遵纪守法，具有良好的思想修养和高尚的道德情操，在校期间未受过任何法律、纪律处分。</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（2）品学兼优、刻苦学习，综合测评成绩位于专业前15%且学业成绩位于专业前15%，无补考科目；同等条件下，家庭经济困难者优先考虑。</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3）学术思想活跃，有较强的创新能力，在校期间积极参加社会实践，且在道德风尚、学术研究、学科竞赛、创新发明、社会实践、社会工作、体育竞赛、文艺比赛等某一方面表现特别突出（需提交详细的证明材料）。</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（4）参评学年已获得由福州大学评选的金额不低于5000元的其他社会奖学金者，原则上不参加评选。</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2.研究生申请人应具备以下条件：</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（1）热爱社会主义祖国,拥护中国共产党的领导。遵守宪法和法律，遵守学校规章制度，在校期间未受过任何法律、纪律处分。</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（2）诚实守信，道德品质优良，积极参加助教、助研、助管等实践活动。</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3）硕士研究生在读期间课程学习成绩优良，同级同专业研究生人数在6人及以下的，综合成绩排名原则上应在前50%，7人及以上的其综合成绩排名原则上应在同级同专业研究生中前40%（在计算综合成绩排名40%、50%内的人数时若出现小数，取其整数再加1人计入）；综合素质测评排名一般在50%以内，所修课程中原则上在参评学年无补考科目。申请人综合成绩以校研究生院系统上的排名为准，综合素质测评以校学生工作管理系统上的排名为准。</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博士研究生课程学习成绩优良，所修课程中原则上在参评学年无补考科目，综合素质测评成绩优良。</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（4）学术型研究生重点考察其科研创新能力和体现创新能力的科研成果，符合以下条件之一：</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①在读期间取得突出科研成果，以福州大学为第一署名单位，本人为第一作者（或导师为第一作者，研究生为第二作者）发表学术论文或出版学术专著，其中参评的硕士推荐候选人原则上应在二类期刊发表论文2篇及以上或发表一类期刊论文1篇及以上（个别学科研究生因特殊原因无法达到以上要求的，可向校领导小组提出申请，经研究后可适当将条件降低为：至少发表三类期刊论文2篇及以上或发表二类期刊论文1篇及以上），博士推荐候选人应发表一类期刊论文2篇及以上或顶级期刊论文1篇及以上。学术论文类别严格按照《福州大学学位与研究生教育学术期刊及论文认定实施细则》（校研〔2014〕2号）、各学部或各研究生培养单位相应的学术委员会自行制定的《研究生国家奖学金学术期刊及论文认定标准》认定；若在实际评审过程中，学生提供的论文材料超出上述标准，应经各学部、各研究生培养单位学术委员会通过并公示后方可向学校推荐。</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②研究生在读期间以第一发明人（或导师为第一发明人，研究生为第二发明人）获国家发明专利授权。</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（5）对于专业学位硕士研究生，重点考察其专业实践能力和适应专业岗位的综合素质，符合以下条件之一：</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①参与研发新产品（注：需提供相关图纸） 或新技术推广取得显著经济或社会效益；</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②研究生在读期间以第一发明人（或导师为第一发明人，研究生为第二发明人）获国家发明专利授权。</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③在读期间取得突出科研成果，以福州大学为第一署名单位，本人为第一作者（或导师为第一作者，研究生为第二作者）发表学术论文或出版学术专著，其中参评的推荐候选人原则上应发表二类期刊论文2篇及以上或发表一类期刊论文1篇及以上（个别学科研究生因特殊原因无法达到以上要求的，可向校领导小组提出申请，经研究后可适当将条件降低为：至少发表三类期刊论文2篇及以上或发表二类期刊论文1篇及以上）。学术论文类别严格按照《福州大学学位与研究生教育学术期刊及论文认定实施细则》认定；若在实际评审过程中，学生提供的论文材料超出上述标准，应经各学部、各研究生培养单位学术委员会通过并公示后方可向学校推荐。</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④艺术类研究生作品参加全国美术二类展赛获奖（排名前2名）。</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spacing w:val="-6"/>
          <w:sz w:val="32"/>
          <w:szCs w:val="32"/>
        </w:rPr>
        <w:t>⑤人文社科类重大项目论证报告的主要完成人（排名前2名）。</w:t>
      </w:r>
    </w:p>
    <w:p>
      <w:pPr>
        <w:adjustRightInd w:val="0"/>
        <w:snapToGrid w:val="0"/>
        <w:spacing w:line="540" w:lineRule="exact"/>
        <w:ind w:firstLine="616" w:firstLineChars="200"/>
        <w:rPr>
          <w:rFonts w:ascii="仿宋_GB2312" w:eastAsia="仿宋_GB2312"/>
          <w:spacing w:val="-6"/>
          <w:sz w:val="32"/>
          <w:szCs w:val="32"/>
        </w:rPr>
      </w:pPr>
      <w:r>
        <w:rPr>
          <w:rFonts w:hint="eastAsia" w:ascii="仿宋_GB2312" w:eastAsia="仿宋_GB2312"/>
          <w:color w:val="000000"/>
          <w:spacing w:val="-6"/>
          <w:sz w:val="32"/>
          <w:szCs w:val="32"/>
        </w:rPr>
        <w:t>（6）研究生在读期间科研成果或学生工作特别突出者可不受上述（3）（4）（5）三个条件限制，</w:t>
      </w:r>
      <w:r>
        <w:rPr>
          <w:rFonts w:hint="eastAsia" w:ascii="仿宋_GB2312" w:eastAsia="仿宋_GB2312"/>
          <w:spacing w:val="-6"/>
          <w:sz w:val="32"/>
          <w:szCs w:val="32"/>
        </w:rPr>
        <w:t>但需上交支撑材料（由培养单位负责人签字、培养单位盖章），在同等条件下获得校级及以上荣誉称号者优先。</w:t>
      </w:r>
    </w:p>
    <w:p>
      <w:pPr>
        <w:adjustRightInd w:val="0"/>
        <w:snapToGrid w:val="0"/>
        <w:rPr>
          <w:rFonts w:ascii="仿宋_GB2312" w:eastAsia="仿宋_GB2312"/>
          <w:color w:val="FF0000"/>
          <w:spacing w:val="-4"/>
          <w:sz w:val="32"/>
          <w:szCs w:val="32"/>
        </w:rPr>
      </w:pPr>
      <w:r>
        <w:rPr>
          <w:rFonts w:ascii="仿宋_GB2312" w:eastAsia="仿宋_GB2312"/>
          <w:spacing w:val="-6"/>
          <w:sz w:val="32"/>
          <w:szCs w:val="32"/>
        </w:rPr>
        <w:tab/>
      </w:r>
      <w:r>
        <w:rPr>
          <w:rFonts w:ascii="仿宋_GB2312" w:eastAsia="仿宋_GB2312"/>
          <w:spacing w:val="-6"/>
          <w:sz w:val="32"/>
          <w:szCs w:val="32"/>
        </w:rPr>
        <w:t xml:space="preserve"> </w:t>
      </w:r>
      <w:r>
        <w:rPr>
          <w:rFonts w:hint="eastAsia" w:ascii="仿宋_GB2312" w:eastAsia="仿宋_GB2312"/>
          <w:spacing w:val="-6"/>
          <w:sz w:val="32"/>
          <w:szCs w:val="32"/>
        </w:rPr>
        <w:t>（7）参评学年内已获得由福州大学评选的金额不低于5000元的其他社会奖学金者，原则上不参加评选。</w:t>
      </w:r>
    </w:p>
    <w:sectPr>
      <w:footerReference r:id="rId3" w:type="default"/>
      <w:footerReference r:id="rId4" w:type="even"/>
      <w:pgSz w:w="11906" w:h="16838"/>
      <w:pgMar w:top="1928" w:right="1531" w:bottom="1588" w:left="1531"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9091A90-4F4A-4E11-8990-75A6F9D97B42}"/>
  </w:font>
  <w:font w:name="Arial">
    <w:panose1 w:val="020B0604020202020204"/>
    <w:charset w:val="01"/>
    <w:family w:val="swiss"/>
    <w:pitch w:val="default"/>
    <w:sig w:usb0="E0002AFF" w:usb1="C0007843" w:usb2="00000009" w:usb3="00000000" w:csb0="400001FF" w:csb1="FFFF0000"/>
    <w:embedRegular r:id="rId2" w:fontKey="{011A5164-632F-4851-848B-E039D68FE464}"/>
  </w:font>
  <w:font w:name="黑体">
    <w:panose1 w:val="02010609060101010101"/>
    <w:charset w:val="86"/>
    <w:family w:val="auto"/>
    <w:pitch w:val="default"/>
    <w:sig w:usb0="800002BF" w:usb1="38CF7CFA" w:usb2="00000016" w:usb3="00000000" w:csb0="00040001" w:csb1="00000000"/>
    <w:embedRegular r:id="rId3" w:fontKey="{8E9E41B7-1426-40D3-9322-93527879CA09}"/>
  </w:font>
  <w:font w:name="Courier New">
    <w:panose1 w:val="02070309020205020404"/>
    <w:charset w:val="01"/>
    <w:family w:val="modern"/>
    <w:pitch w:val="default"/>
    <w:sig w:usb0="E0002AFF" w:usb1="C0007843" w:usb2="00000009" w:usb3="00000000" w:csb0="400001FF" w:csb1="FFFF0000"/>
    <w:embedRegular r:id="rId4" w:fontKey="{30872140-2091-4B7D-B3F9-D74C234B072D}"/>
  </w:font>
  <w:font w:name="Symbol">
    <w:panose1 w:val="05050102010706020507"/>
    <w:charset w:val="02"/>
    <w:family w:val="roman"/>
    <w:pitch w:val="default"/>
    <w:sig w:usb0="00000000" w:usb1="00000000" w:usb2="00000000" w:usb3="00000000" w:csb0="80000000" w:csb1="00000000"/>
    <w:embedRegular r:id="rId5" w:fontKey="{610FEF64-7914-49BE-8496-E691557CD2A4}"/>
  </w:font>
  <w:font w:name="Calibri">
    <w:panose1 w:val="020F0502020204030204"/>
    <w:charset w:val="00"/>
    <w:family w:val="swiss"/>
    <w:pitch w:val="default"/>
    <w:sig w:usb0="E00002FF" w:usb1="4000ACFF" w:usb2="00000001" w:usb3="00000000" w:csb0="2000019F" w:csb1="00000000"/>
    <w:embedRegular r:id="rId6" w:fontKey="{642516F6-711D-496D-B3A9-F3A358BE7317}"/>
  </w:font>
  <w:font w:name="楷体_GB2312">
    <w:altName w:val="楷体"/>
    <w:panose1 w:val="00000000000000000000"/>
    <w:charset w:val="86"/>
    <w:family w:val="modern"/>
    <w:pitch w:val="default"/>
    <w:sig w:usb0="00000000" w:usb1="00000000" w:usb2="00000010" w:usb3="00000000" w:csb0="00040000" w:csb1="00000000"/>
    <w:embedRegular r:id="rId7" w:fontKey="{02C0B06D-5DA3-463A-86FB-058711314B0B}"/>
  </w:font>
  <w:font w:name="仿宋_GB2312">
    <w:panose1 w:val="02010609030101010101"/>
    <w:charset w:val="86"/>
    <w:family w:val="modern"/>
    <w:pitch w:val="default"/>
    <w:sig w:usb0="00000000" w:usb1="00000000" w:usb2="00000000" w:usb3="00000000" w:csb0="00000000" w:csb1="00000000"/>
    <w:embedRegular r:id="rId8" w:fontKey="{54A28FAA-9D04-4A38-9488-EAA8C261CBE3}"/>
  </w:font>
  <w:font w:name="楷体">
    <w:panose1 w:val="02010609060101010101"/>
    <w:charset w:val="86"/>
    <w:family w:val="auto"/>
    <w:pitch w:val="default"/>
    <w:sig w:usb0="800002BF" w:usb1="38CF7CFA" w:usb2="00000016" w:usb3="00000000" w:csb0="00040001" w:csb1="00000000"/>
  </w:font>
  <w:font w:name="仿宋_GB2312">
    <w:panose1 w:val="02010609030101010101"/>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firstLineChars="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leftChars="200"/>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8</w:t>
    </w:r>
    <w:r>
      <w:rPr>
        <w:rFonts w:hint="eastAsia" w:ascii="仿宋_GB2312" w:eastAsia="仿宋_GB2312"/>
        <w:sz w:val="28"/>
        <w:szCs w:val="28"/>
      </w:rPr>
      <w:fldChar w:fldCharType="end"/>
    </w:r>
    <w:r>
      <w:rPr>
        <w:rFonts w:hint="eastAsia" w:ascii="仿宋_GB2312" w:eastAsia="仿宋_GB2312"/>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NotTrackMoves/>
  <w:documentProtection w:enforcement="0"/>
  <w:defaultTabStop w:val="420"/>
  <w:evenAndOddHeaders w:val="1"/>
  <w:drawingGridHorizontalSpacing w:val="105"/>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0A25"/>
    <w:rsid w:val="00012766"/>
    <w:rsid w:val="000234C1"/>
    <w:rsid w:val="00051DFA"/>
    <w:rsid w:val="00070BC1"/>
    <w:rsid w:val="00073560"/>
    <w:rsid w:val="00074C4A"/>
    <w:rsid w:val="00094EF7"/>
    <w:rsid w:val="000A5302"/>
    <w:rsid w:val="000A7B34"/>
    <w:rsid w:val="000B5523"/>
    <w:rsid w:val="000B77A6"/>
    <w:rsid w:val="000C0739"/>
    <w:rsid w:val="000C1DE3"/>
    <w:rsid w:val="000D0D71"/>
    <w:rsid w:val="000F2206"/>
    <w:rsid w:val="000F4BB4"/>
    <w:rsid w:val="00120FC3"/>
    <w:rsid w:val="00126E23"/>
    <w:rsid w:val="001272B0"/>
    <w:rsid w:val="00127904"/>
    <w:rsid w:val="00132271"/>
    <w:rsid w:val="0013624B"/>
    <w:rsid w:val="00172A27"/>
    <w:rsid w:val="001824E4"/>
    <w:rsid w:val="001E67F4"/>
    <w:rsid w:val="001E7E9A"/>
    <w:rsid w:val="00212224"/>
    <w:rsid w:val="0022373C"/>
    <w:rsid w:val="00223D61"/>
    <w:rsid w:val="002259B2"/>
    <w:rsid w:val="00251B79"/>
    <w:rsid w:val="00256C58"/>
    <w:rsid w:val="0026621B"/>
    <w:rsid w:val="00281252"/>
    <w:rsid w:val="00281D9F"/>
    <w:rsid w:val="002A5519"/>
    <w:rsid w:val="002B5EA4"/>
    <w:rsid w:val="002C3E65"/>
    <w:rsid w:val="002C6068"/>
    <w:rsid w:val="002D0A92"/>
    <w:rsid w:val="002D4AF1"/>
    <w:rsid w:val="003179D0"/>
    <w:rsid w:val="003275AA"/>
    <w:rsid w:val="00360524"/>
    <w:rsid w:val="00363467"/>
    <w:rsid w:val="003949FF"/>
    <w:rsid w:val="0039691A"/>
    <w:rsid w:val="003A5E16"/>
    <w:rsid w:val="003D2685"/>
    <w:rsid w:val="003D4120"/>
    <w:rsid w:val="003F7E5B"/>
    <w:rsid w:val="004178B2"/>
    <w:rsid w:val="00421E80"/>
    <w:rsid w:val="0042528E"/>
    <w:rsid w:val="00430F0F"/>
    <w:rsid w:val="00453E3F"/>
    <w:rsid w:val="004737C9"/>
    <w:rsid w:val="00474E5A"/>
    <w:rsid w:val="0048168A"/>
    <w:rsid w:val="0049311C"/>
    <w:rsid w:val="004A1810"/>
    <w:rsid w:val="004A7C65"/>
    <w:rsid w:val="004D05D0"/>
    <w:rsid w:val="004D12E8"/>
    <w:rsid w:val="0050610E"/>
    <w:rsid w:val="00511E37"/>
    <w:rsid w:val="00517F84"/>
    <w:rsid w:val="00520048"/>
    <w:rsid w:val="00523E69"/>
    <w:rsid w:val="00537924"/>
    <w:rsid w:val="00544CBA"/>
    <w:rsid w:val="00561ADE"/>
    <w:rsid w:val="005632FD"/>
    <w:rsid w:val="00571B6D"/>
    <w:rsid w:val="00581350"/>
    <w:rsid w:val="005965F8"/>
    <w:rsid w:val="005A2E6B"/>
    <w:rsid w:val="005A540D"/>
    <w:rsid w:val="005B5435"/>
    <w:rsid w:val="005C2C85"/>
    <w:rsid w:val="005E0427"/>
    <w:rsid w:val="005F00C4"/>
    <w:rsid w:val="005F7B4D"/>
    <w:rsid w:val="00601D19"/>
    <w:rsid w:val="00603905"/>
    <w:rsid w:val="00606F08"/>
    <w:rsid w:val="006244C7"/>
    <w:rsid w:val="006422AE"/>
    <w:rsid w:val="006618AA"/>
    <w:rsid w:val="006739DE"/>
    <w:rsid w:val="00675DC5"/>
    <w:rsid w:val="00686CE6"/>
    <w:rsid w:val="006A3FB0"/>
    <w:rsid w:val="006C3AFE"/>
    <w:rsid w:val="006D1B40"/>
    <w:rsid w:val="006D7BB2"/>
    <w:rsid w:val="006E15B8"/>
    <w:rsid w:val="006E7DEE"/>
    <w:rsid w:val="006F2556"/>
    <w:rsid w:val="00713CCB"/>
    <w:rsid w:val="00713DB8"/>
    <w:rsid w:val="00714B6A"/>
    <w:rsid w:val="0072158D"/>
    <w:rsid w:val="00726976"/>
    <w:rsid w:val="0072736F"/>
    <w:rsid w:val="00733B7B"/>
    <w:rsid w:val="00740EF0"/>
    <w:rsid w:val="007458D8"/>
    <w:rsid w:val="007633BD"/>
    <w:rsid w:val="0077013A"/>
    <w:rsid w:val="00792B1D"/>
    <w:rsid w:val="00793AD1"/>
    <w:rsid w:val="00797FD1"/>
    <w:rsid w:val="007B35D1"/>
    <w:rsid w:val="007D6D50"/>
    <w:rsid w:val="007F4CE6"/>
    <w:rsid w:val="00806481"/>
    <w:rsid w:val="008068D4"/>
    <w:rsid w:val="008078DE"/>
    <w:rsid w:val="0081781F"/>
    <w:rsid w:val="00850257"/>
    <w:rsid w:val="00863E7D"/>
    <w:rsid w:val="00871F6C"/>
    <w:rsid w:val="00874862"/>
    <w:rsid w:val="0088278B"/>
    <w:rsid w:val="0088399D"/>
    <w:rsid w:val="0088783B"/>
    <w:rsid w:val="008A096F"/>
    <w:rsid w:val="008B18FA"/>
    <w:rsid w:val="008E1D24"/>
    <w:rsid w:val="008E4CF4"/>
    <w:rsid w:val="008F1CD0"/>
    <w:rsid w:val="00901ECC"/>
    <w:rsid w:val="00905159"/>
    <w:rsid w:val="00905C5C"/>
    <w:rsid w:val="009305BA"/>
    <w:rsid w:val="00930B58"/>
    <w:rsid w:val="0093306C"/>
    <w:rsid w:val="009376B6"/>
    <w:rsid w:val="009516D2"/>
    <w:rsid w:val="00954FA7"/>
    <w:rsid w:val="00957B41"/>
    <w:rsid w:val="00985279"/>
    <w:rsid w:val="009A1E64"/>
    <w:rsid w:val="009C045A"/>
    <w:rsid w:val="009C11C1"/>
    <w:rsid w:val="009D450E"/>
    <w:rsid w:val="009D5499"/>
    <w:rsid w:val="009D59BB"/>
    <w:rsid w:val="009E63E2"/>
    <w:rsid w:val="009F1AED"/>
    <w:rsid w:val="009F6DFE"/>
    <w:rsid w:val="00A02D22"/>
    <w:rsid w:val="00A064AA"/>
    <w:rsid w:val="00A3475A"/>
    <w:rsid w:val="00A73496"/>
    <w:rsid w:val="00A76C9D"/>
    <w:rsid w:val="00A77A6E"/>
    <w:rsid w:val="00A81A75"/>
    <w:rsid w:val="00A83E91"/>
    <w:rsid w:val="00AB1B81"/>
    <w:rsid w:val="00AC38D2"/>
    <w:rsid w:val="00AD4B44"/>
    <w:rsid w:val="00AD53FF"/>
    <w:rsid w:val="00AE0531"/>
    <w:rsid w:val="00AE78C6"/>
    <w:rsid w:val="00AF10BC"/>
    <w:rsid w:val="00B02281"/>
    <w:rsid w:val="00B207C2"/>
    <w:rsid w:val="00B33BA9"/>
    <w:rsid w:val="00B3757C"/>
    <w:rsid w:val="00B816B5"/>
    <w:rsid w:val="00B8608E"/>
    <w:rsid w:val="00BB0B33"/>
    <w:rsid w:val="00BB70CB"/>
    <w:rsid w:val="00BC6F65"/>
    <w:rsid w:val="00BD06CC"/>
    <w:rsid w:val="00BE36FE"/>
    <w:rsid w:val="00BE57A3"/>
    <w:rsid w:val="00BE57DE"/>
    <w:rsid w:val="00BE6FA1"/>
    <w:rsid w:val="00C000FA"/>
    <w:rsid w:val="00C23ED7"/>
    <w:rsid w:val="00C35A81"/>
    <w:rsid w:val="00C64081"/>
    <w:rsid w:val="00C808E9"/>
    <w:rsid w:val="00C95F60"/>
    <w:rsid w:val="00CB4621"/>
    <w:rsid w:val="00CB7ACE"/>
    <w:rsid w:val="00CC7113"/>
    <w:rsid w:val="00D07B08"/>
    <w:rsid w:val="00D11817"/>
    <w:rsid w:val="00D277D1"/>
    <w:rsid w:val="00D33AA4"/>
    <w:rsid w:val="00D562B2"/>
    <w:rsid w:val="00D639FE"/>
    <w:rsid w:val="00D706F0"/>
    <w:rsid w:val="00D70C9F"/>
    <w:rsid w:val="00DA44E5"/>
    <w:rsid w:val="00DB275C"/>
    <w:rsid w:val="00DB7853"/>
    <w:rsid w:val="00DD5E93"/>
    <w:rsid w:val="00DE0EDC"/>
    <w:rsid w:val="00E04DDD"/>
    <w:rsid w:val="00E06D98"/>
    <w:rsid w:val="00E12DF0"/>
    <w:rsid w:val="00E13077"/>
    <w:rsid w:val="00E467AD"/>
    <w:rsid w:val="00E90D07"/>
    <w:rsid w:val="00EE2B7D"/>
    <w:rsid w:val="00EE3536"/>
    <w:rsid w:val="00F069AE"/>
    <w:rsid w:val="00F076FE"/>
    <w:rsid w:val="00F14066"/>
    <w:rsid w:val="00F24CF2"/>
    <w:rsid w:val="00F521BD"/>
    <w:rsid w:val="00F525FD"/>
    <w:rsid w:val="00F56A3C"/>
    <w:rsid w:val="00F57D50"/>
    <w:rsid w:val="00F86A38"/>
    <w:rsid w:val="00F9487E"/>
    <w:rsid w:val="00FD6E43"/>
    <w:rsid w:val="02D7649D"/>
    <w:rsid w:val="07B90C8B"/>
    <w:rsid w:val="0949652F"/>
    <w:rsid w:val="095C25DD"/>
    <w:rsid w:val="0A973DC5"/>
    <w:rsid w:val="0AFE599B"/>
    <w:rsid w:val="0DD820B7"/>
    <w:rsid w:val="0FDFBCD8"/>
    <w:rsid w:val="104241EC"/>
    <w:rsid w:val="105957E0"/>
    <w:rsid w:val="129E479C"/>
    <w:rsid w:val="14A359C4"/>
    <w:rsid w:val="17EA7B90"/>
    <w:rsid w:val="1905CAF5"/>
    <w:rsid w:val="19893F9F"/>
    <w:rsid w:val="1A824C82"/>
    <w:rsid w:val="200A73DB"/>
    <w:rsid w:val="204DF269"/>
    <w:rsid w:val="23BD6B5F"/>
    <w:rsid w:val="28545BA7"/>
    <w:rsid w:val="286F2779"/>
    <w:rsid w:val="2CCB4D49"/>
    <w:rsid w:val="2DB014EE"/>
    <w:rsid w:val="2DD16C10"/>
    <w:rsid w:val="2DDFE1D7"/>
    <w:rsid w:val="2E165AD2"/>
    <w:rsid w:val="2E1818DC"/>
    <w:rsid w:val="3050663F"/>
    <w:rsid w:val="307A5CA5"/>
    <w:rsid w:val="313A32DA"/>
    <w:rsid w:val="338540E7"/>
    <w:rsid w:val="3B846637"/>
    <w:rsid w:val="3ECB6EE2"/>
    <w:rsid w:val="3F416ED4"/>
    <w:rsid w:val="41110FA2"/>
    <w:rsid w:val="43BF1D6F"/>
    <w:rsid w:val="453433C3"/>
    <w:rsid w:val="468C570B"/>
    <w:rsid w:val="46F22ABA"/>
    <w:rsid w:val="4718DBC4"/>
    <w:rsid w:val="484F083D"/>
    <w:rsid w:val="490829CE"/>
    <w:rsid w:val="49E640B1"/>
    <w:rsid w:val="49EC7075"/>
    <w:rsid w:val="4B3B3D97"/>
    <w:rsid w:val="4DA9669B"/>
    <w:rsid w:val="4E6C3119"/>
    <w:rsid w:val="4F8BA40B"/>
    <w:rsid w:val="5349322D"/>
    <w:rsid w:val="53F132B3"/>
    <w:rsid w:val="546515A2"/>
    <w:rsid w:val="54A56684"/>
    <w:rsid w:val="557634B6"/>
    <w:rsid w:val="57387D5D"/>
    <w:rsid w:val="5924444C"/>
    <w:rsid w:val="5C707135"/>
    <w:rsid w:val="61146C91"/>
    <w:rsid w:val="620246AC"/>
    <w:rsid w:val="62586C78"/>
    <w:rsid w:val="64486E3D"/>
    <w:rsid w:val="64AE087E"/>
    <w:rsid w:val="687A2BA9"/>
    <w:rsid w:val="6AD838E6"/>
    <w:rsid w:val="6E6435DF"/>
    <w:rsid w:val="6EB90E58"/>
    <w:rsid w:val="7155473B"/>
    <w:rsid w:val="736B30F3"/>
    <w:rsid w:val="747D1C84"/>
    <w:rsid w:val="76344A1F"/>
    <w:rsid w:val="766548A3"/>
    <w:rsid w:val="86291BD3"/>
    <w:rsid w:val="8D9A071E"/>
    <w:rsid w:val="8F47B506"/>
    <w:rsid w:val="95E8D94E"/>
    <w:rsid w:val="A8EF8428"/>
    <w:rsid w:val="B00C4767"/>
    <w:rsid w:val="B8793258"/>
    <w:rsid w:val="C7A3B476"/>
    <w:rsid w:val="C92B8B14"/>
    <w:rsid w:val="CD686CB1"/>
    <w:rsid w:val="CDE09F4A"/>
    <w:rsid w:val="CEBB57AF"/>
    <w:rsid w:val="CF45E0C8"/>
    <w:rsid w:val="D2A7DC39"/>
    <w:rsid w:val="ED252EA4"/>
    <w:rsid w:val="F1BCA749"/>
    <w:rsid w:val="FE978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9"/>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uiPriority w:val="0"/>
    <w:rPr>
      <w:rFonts w:ascii="Times New Roman" w:hAnsi="Times New Roman" w:eastAsia="宋体" w:cs="Times New Roman"/>
      <w:color w:val="0000FF"/>
      <w:u w:val="single"/>
    </w:rPr>
  </w:style>
  <w:style w:type="character" w:customStyle="1" w:styleId="8">
    <w:name w:val="批注框文本 字符"/>
    <w:link w:val="2"/>
    <w:uiPriority w:val="0"/>
    <w:rPr>
      <w:rFonts w:ascii="Times New Roman" w:hAnsi="Times New Roman" w:eastAsia="宋体" w:cs="Times New Roman"/>
      <w:kern w:val="2"/>
      <w:sz w:val="18"/>
      <w:szCs w:val="18"/>
    </w:rPr>
  </w:style>
  <w:style w:type="character" w:customStyle="1" w:styleId="9">
    <w:name w:val="页脚 字符"/>
    <w:link w:val="3"/>
    <w:uiPriority w:val="0"/>
    <w:rPr>
      <w:rFonts w:ascii="Times New Roman" w:hAnsi="Times New Roman" w:eastAsia="宋体" w:cs="Times New Roman"/>
      <w:kern w:val="2"/>
      <w:sz w:val="18"/>
    </w:rPr>
  </w:style>
  <w:style w:type="paragraph" w:customStyle="1" w:styleId="10">
    <w:name w:val="彩色底纹 - 强调文字颜色 11"/>
    <w:hidden/>
    <w:unhideWhenUsed/>
    <w:uiPriority w:val="99"/>
    <w:rPr>
      <w:rFonts w:ascii="Times New Roman" w:hAnsi="Times New Roman" w:eastAsia="宋体" w:cs="Times New Roman"/>
      <w:kern w:val="2"/>
      <w:sz w:val="21"/>
      <w:lang w:val="en-US" w:eastAsia="zh-CN" w:bidi="ar-SA"/>
    </w:rPr>
  </w:style>
  <w:style w:type="paragraph" w:customStyle="1" w:styleId="11">
    <w:name w:val="Revision"/>
    <w:hidden/>
    <w:qFormat/>
    <w:uiPriority w:val="71"/>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0E0516-CB13-4BD3-AEF4-C0468D45EE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618</Words>
  <Characters>3525</Characters>
  <Lines>29</Lines>
  <Paragraphs>8</Paragraphs>
  <TotalTime>1</TotalTime>
  <ScaleCrop>false</ScaleCrop>
  <LinksUpToDate>false</LinksUpToDate>
  <CharactersWithSpaces>4135</CharactersWithSpaces>
  <Application>WPS Office_11.1.0.9292_F1E327BC-269C-435d-A152-05C5408002CA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2020-04-13T00:55:00Z</dcterms:created>
  <dc:creator>Tan</dc:creator>
  <cp:lastModifiedBy>Admin</cp:lastModifiedBy>
  <cp:lastPrinted>2020-04-13T07:32:00Z</cp:lastPrinted>
  <dcterms:modified xsi:type="dcterms:W3CDTF">2020-04-16T02:51:34Z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